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附件1</w:t>
      </w:r>
    </w:p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2021年阜南县妇幼保健院使用社会化用人公开招聘托</w:t>
      </w:r>
      <w:proofErr w:type="gramStart"/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育幼儿教师</w:t>
      </w:r>
      <w:proofErr w:type="gramEnd"/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计划一览表</w:t>
      </w:r>
    </w:p>
    <w:tbl>
      <w:tblPr>
        <w:tblW w:w="9480" w:type="dxa"/>
        <w:tblBorders>
          <w:top w:val="single" w:sz="12" w:space="0" w:color="E2183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652"/>
        <w:gridCol w:w="633"/>
        <w:gridCol w:w="1932"/>
        <w:gridCol w:w="633"/>
        <w:gridCol w:w="5121"/>
      </w:tblGrid>
      <w:tr w:rsidR="00AC776A" w:rsidRPr="00AC776A" w:rsidTr="00AC776A">
        <w:tc>
          <w:tcPr>
            <w:tcW w:w="57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7"/>
                <w:szCs w:val="17"/>
              </w:rPr>
              <w:t>序号</w:t>
            </w:r>
          </w:p>
        </w:tc>
        <w:tc>
          <w:tcPr>
            <w:tcW w:w="7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7"/>
                <w:szCs w:val="17"/>
              </w:rPr>
              <w:t>专业</w:t>
            </w:r>
          </w:p>
        </w:tc>
        <w:tc>
          <w:tcPr>
            <w:tcW w:w="73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7"/>
                <w:szCs w:val="17"/>
              </w:rPr>
              <w:t>岗位</w:t>
            </w:r>
          </w:p>
        </w:tc>
        <w:tc>
          <w:tcPr>
            <w:tcW w:w="231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7"/>
                <w:szCs w:val="17"/>
              </w:rPr>
              <w:t>学历</w:t>
            </w:r>
          </w:p>
        </w:tc>
        <w:tc>
          <w:tcPr>
            <w:tcW w:w="73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7"/>
                <w:szCs w:val="17"/>
              </w:rPr>
              <w:t>人数</w:t>
            </w:r>
          </w:p>
        </w:tc>
        <w:tc>
          <w:tcPr>
            <w:tcW w:w="631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b/>
                <w:bCs/>
                <w:color w:val="333333"/>
                <w:kern w:val="0"/>
                <w:sz w:val="17"/>
                <w:szCs w:val="17"/>
              </w:rPr>
              <w:t>要求</w:t>
            </w:r>
          </w:p>
        </w:tc>
      </w:tr>
      <w:tr w:rsidR="00AC776A" w:rsidRPr="00AC776A" w:rsidTr="00AC776A">
        <w:tc>
          <w:tcPr>
            <w:tcW w:w="57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学前教育</w:t>
            </w:r>
          </w:p>
        </w:tc>
        <w:tc>
          <w:tcPr>
            <w:tcW w:w="73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托</w:t>
            </w:r>
            <w:proofErr w:type="gramStart"/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育教师</w:t>
            </w:r>
            <w:proofErr w:type="gramEnd"/>
          </w:p>
        </w:tc>
        <w:tc>
          <w:tcPr>
            <w:tcW w:w="231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全日制大专及以上</w:t>
            </w:r>
          </w:p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（高中起点）</w:t>
            </w:r>
          </w:p>
        </w:tc>
        <w:tc>
          <w:tcPr>
            <w:tcW w:w="73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13</w:t>
            </w:r>
          </w:p>
        </w:tc>
        <w:tc>
          <w:tcPr>
            <w:tcW w:w="631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1.全日制统招大专及以上学历具有幼儿园教师资格证、育婴师资格证，年龄35周岁以内。</w:t>
            </w:r>
          </w:p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2.有幼儿园、早教中心、儿童培训机构从事育婴工作者优先。</w:t>
            </w:r>
          </w:p>
        </w:tc>
      </w:tr>
      <w:tr w:rsidR="00AC776A" w:rsidRPr="00AC776A" w:rsidTr="00AC776A">
        <w:tc>
          <w:tcPr>
            <w:tcW w:w="57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2</w:t>
            </w:r>
          </w:p>
        </w:tc>
        <w:tc>
          <w:tcPr>
            <w:tcW w:w="7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学前教育</w:t>
            </w:r>
          </w:p>
        </w:tc>
        <w:tc>
          <w:tcPr>
            <w:tcW w:w="73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早教教师</w:t>
            </w:r>
          </w:p>
        </w:tc>
        <w:tc>
          <w:tcPr>
            <w:tcW w:w="231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全日制大专及以上（高中起点）</w:t>
            </w:r>
          </w:p>
        </w:tc>
        <w:tc>
          <w:tcPr>
            <w:tcW w:w="73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6</w:t>
            </w:r>
          </w:p>
        </w:tc>
        <w:tc>
          <w:tcPr>
            <w:tcW w:w="631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1.全日制统招大专及以上学历具有幼儿园教师资格证、育婴师资格证，年龄35周岁以内。</w:t>
            </w:r>
          </w:p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2.有幼儿园、早教中心、儿童培训机构从事早教工作者优先。</w:t>
            </w:r>
          </w:p>
        </w:tc>
      </w:tr>
      <w:tr w:rsidR="00AC776A" w:rsidRPr="00AC776A" w:rsidTr="00AC776A">
        <w:tc>
          <w:tcPr>
            <w:tcW w:w="57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合计</w:t>
            </w:r>
          </w:p>
        </w:tc>
        <w:tc>
          <w:tcPr>
            <w:tcW w:w="75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AC776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AC776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2316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AC776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  <w:tc>
          <w:tcPr>
            <w:tcW w:w="73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宋体" w:eastAsia="宋体" w:hAnsi="宋体" w:cs="Arial"/>
                <w:color w:val="333333"/>
                <w:kern w:val="0"/>
                <w:sz w:val="17"/>
                <w:szCs w:val="17"/>
              </w:rPr>
            </w:pPr>
            <w:r w:rsidRPr="00AC776A">
              <w:rPr>
                <w:rFonts w:ascii="宋体" w:eastAsia="宋体" w:hAnsi="宋体" w:cs="Arial" w:hint="eastAsia"/>
                <w:color w:val="333333"/>
                <w:kern w:val="0"/>
                <w:sz w:val="17"/>
                <w:szCs w:val="17"/>
              </w:rPr>
              <w:t>19</w:t>
            </w:r>
          </w:p>
        </w:tc>
        <w:tc>
          <w:tcPr>
            <w:tcW w:w="6312" w:type="dxa"/>
            <w:tcBorders>
              <w:top w:val="single" w:sz="4" w:space="0" w:color="DEDEDE"/>
              <w:left w:val="single" w:sz="4" w:space="0" w:color="DEDEDE"/>
              <w:bottom w:val="single" w:sz="4" w:space="0" w:color="DEDEDE"/>
              <w:right w:val="single" w:sz="4" w:space="0" w:color="DEDEDE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AC776A" w:rsidRPr="00AC776A" w:rsidRDefault="00AC776A" w:rsidP="00AC776A">
            <w:pPr>
              <w:widowControl/>
              <w:wordWrap w:val="0"/>
              <w:spacing w:line="336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</w:pPr>
            <w:r w:rsidRPr="00AC776A">
              <w:rPr>
                <w:rFonts w:ascii="Arial" w:eastAsia="宋体" w:hAnsi="Arial" w:cs="Arial"/>
                <w:color w:val="333333"/>
                <w:kern w:val="0"/>
                <w:sz w:val="14"/>
                <w:szCs w:val="14"/>
              </w:rPr>
              <w:t> </w:t>
            </w:r>
          </w:p>
        </w:tc>
      </w:tr>
    </w:tbl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附件2</w:t>
      </w:r>
    </w:p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考试期间疫情防控须知</w:t>
      </w:r>
    </w:p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1.考生报名时应佩戴口罩，并通过“皖事通”APP实名申领“安康码”。“安康码”为</w:t>
      </w:r>
      <w:proofErr w:type="gramStart"/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绿码且</w:t>
      </w:r>
      <w:proofErr w:type="gramEnd"/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经过现场测量体温正常的考生方可进场报名。报名后应持续关注“安康码”状态并保持通讯畅通。“红码”、“黄码”考生应咨询当地疫情防控部门，按要求通过每日健康打卡、</w:t>
      </w:r>
      <w:proofErr w:type="gramStart"/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持码人</w:t>
      </w:r>
      <w:proofErr w:type="gramEnd"/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申诉、隔离观察无异常、核酸检测等方式，在考试前转为“绿码”。</w:t>
      </w:r>
    </w:p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2.考生应从考试日前14天开始，启动体温监测，按照“一日一测，异常情况随时报”的疫情报告制度，及时将异常情况报告所在单位或社区防疫部门，并通知招聘单位知晓。</w:t>
      </w:r>
    </w:p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3.考试日前14天内，考生应尽量避免在国内疫情中高风险地区或国(境)外旅行、居住;尽量避免与新冠肺炎确诊病例、疑似病例、无症状感染者及中高风险区域人员接触;尽量避免去人群流动性较大、人群密集的场所聚集。</w:t>
      </w:r>
    </w:p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4.考生在备考过程中，要做好自我防护，注意个人卫生，加强营养和合理休息，防止过度紧张和疲劳，以良好心态和身体素质参加考试，避免出现发热、咳嗽等异常症状。考试当天要采取合适的出行方式前往考点，与他人保持安全间距。</w:t>
      </w:r>
    </w:p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5.考试期间，考生应自备口罩，并按照考点所在地疫情风险等级和防控要求科学佩戴口罩。在考点入场及考后离场等人群聚集环节，建议全程佩戴口罩，但在接受身份识别验证等特殊情况下须摘除口罩。</w:t>
      </w:r>
    </w:p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6.考生应至少提前40分钟到达考点。入场时，应主动配合工作人员接受体温检测，“安康码”为</w:t>
      </w:r>
      <w:proofErr w:type="gramStart"/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绿码且</w:t>
      </w:r>
      <w:proofErr w:type="gramEnd"/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>体温正常、无咳嗽等异常状况的考生方可正常参加考试。如有体温异常、咳嗽等症状者，按照疫情防控有关要求，不宜参加统一笔试。</w:t>
      </w:r>
    </w:p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7.考试期间，考生要自觉维护考试秩序，与其他考生保持社交距离，服从现场工作人员安排，考试结束后按规定有序离场。</w:t>
      </w:r>
    </w:p>
    <w:p w:rsidR="00AC776A" w:rsidRPr="00AC776A" w:rsidRDefault="00AC776A" w:rsidP="00AC776A">
      <w:pPr>
        <w:widowControl/>
        <w:shd w:val="clear" w:color="auto" w:fill="FFFFFF"/>
        <w:spacing w:line="336" w:lineRule="atLeast"/>
        <w:jc w:val="left"/>
        <w:rPr>
          <w:rFonts w:ascii="宋体" w:eastAsia="宋体" w:hAnsi="宋体" w:cs="宋体" w:hint="eastAsia"/>
          <w:color w:val="333333"/>
          <w:kern w:val="0"/>
          <w:sz w:val="17"/>
          <w:szCs w:val="17"/>
        </w:rPr>
      </w:pPr>
      <w:r w:rsidRPr="00AC776A">
        <w:rPr>
          <w:rFonts w:ascii="宋体" w:eastAsia="宋体" w:hAnsi="宋体" w:cs="宋体" w:hint="eastAsia"/>
          <w:color w:val="333333"/>
          <w:kern w:val="0"/>
          <w:sz w:val="17"/>
          <w:szCs w:val="17"/>
        </w:rPr>
        <w:t xml:space="preserve">　　8.考生报名时要认真阅读本须知，承诺已知悉告知事项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B53B75" w:rsidRPr="00AC776A" w:rsidRDefault="00B53B75"/>
    <w:sectPr w:rsidR="00B53B75" w:rsidRPr="00AC776A" w:rsidSect="00F14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76A"/>
    <w:rsid w:val="00AC776A"/>
    <w:rsid w:val="00B53B75"/>
    <w:rsid w:val="00F1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7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2021-10-12T07:45:00Z</dcterms:created>
  <dcterms:modified xsi:type="dcterms:W3CDTF">2021-10-12T07:45:00Z</dcterms:modified>
</cp:coreProperties>
</file>