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333333"/>
          <w:kern w:val="0"/>
          <w:sz w:val="24"/>
          <w:szCs w:val="24"/>
          <w:lang w:eastAsia="zh-CN"/>
        </w:rPr>
        <w:t>附件：</w:t>
      </w:r>
      <w:bookmarkStart w:id="0" w:name="_GoBack"/>
      <w:bookmarkEnd w:id="0"/>
    </w:p>
    <w:tbl>
      <w:tblPr>
        <w:tblStyle w:val="2"/>
        <w:tblW w:w="0" w:type="auto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1070"/>
        <w:gridCol w:w="1071"/>
        <w:gridCol w:w="1166"/>
        <w:gridCol w:w="620"/>
        <w:gridCol w:w="1253"/>
        <w:gridCol w:w="897"/>
        <w:gridCol w:w="894"/>
        <w:gridCol w:w="1346"/>
        <w:gridCol w:w="955"/>
        <w:gridCol w:w="192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92" w:type="dxa"/>
          <w:jc w:val="center"/>
        </w:trPr>
        <w:tc>
          <w:tcPr>
            <w:tcW w:w="9707" w:type="dxa"/>
            <w:gridSpan w:val="10"/>
            <w:tcBorders>
              <w:top w:val="single" w:color="D0D7E5" w:sz="6" w:space="0"/>
              <w:left w:val="single" w:color="D0D7E5" w:sz="6" w:space="0"/>
              <w:bottom w:val="single" w:color="D0D7E5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安徽中医药大学第一附属医院灵璧分院（ 灵璧县中医医院）</w:t>
            </w:r>
          </w:p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43"/>
                <w:szCs w:val="43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32"/>
                <w:szCs w:val="32"/>
              </w:rPr>
              <w:t>2021年公开招聘工作人员岗位计划表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2493" w:type="dxa"/>
          <w:trHeight w:val="159" w:hRule="atLeast"/>
          <w:jc w:val="center"/>
        </w:trPr>
        <w:tc>
          <w:tcPr>
            <w:tcW w:w="4362" w:type="dxa"/>
            <w:gridSpan w:val="5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1253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897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</w:p>
        </w:tc>
        <w:tc>
          <w:tcPr>
            <w:tcW w:w="894" w:type="dxa"/>
            <w:tcBorders>
              <w:top w:val="single" w:color="D0D7E5" w:sz="6" w:space="0"/>
              <w:left w:val="single" w:color="D0D7E5" w:sz="6" w:space="0"/>
              <w:bottom w:val="single" w:color="D0D7E5" w:sz="6" w:space="0"/>
              <w:right w:val="single" w:color="D0D7E5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0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07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6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6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 人数</w:t>
            </w:r>
          </w:p>
        </w:tc>
        <w:tc>
          <w:tcPr>
            <w:tcW w:w="439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招聘岗位所需资格条件</w:t>
            </w:r>
          </w:p>
        </w:tc>
        <w:tc>
          <w:tcPr>
            <w:tcW w:w="1147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07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专业（代码）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学历 （学位）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临床科室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210501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临床医学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本科30周岁及以下；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除2020年、2021年本科毕业生外，均需取得执业医师资格证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具有硕士研究生学历及学位优先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中医科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中医临床岗位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210502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中医学、中西医临床医学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除2020年、2021年本科毕业生外，均需取得执业医师资格证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具有硕士研究生学历及学位优先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急诊科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210503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8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临床医学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具有执业医师资格证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4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麻醉科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210504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临床医学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具有执业医师资格证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5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临床科室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护理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eastAsia="zh-CN"/>
              </w:rPr>
              <w:t>（助产）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210505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eastAsia="zh-CN"/>
              </w:rPr>
              <w:t>助产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eastAsia="zh-CN"/>
              </w:rPr>
              <w:t>具有护士资格证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both"/>
              <w:rPr>
                <w:rFonts w:hint="default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临床科室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护理岗位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21050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both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本科：护理学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本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科及以上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具有护士资格证</w:t>
            </w:r>
          </w:p>
        </w:tc>
        <w:tc>
          <w:tcPr>
            <w:tcW w:w="1147" w:type="dxa"/>
            <w:gridSpan w:val="2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临床科室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康复治疗岗位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21050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专科：康复治疗技术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本科：康复治疗学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除2020年、2021年本科毕业生外，均需取得执业医师资格证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435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0" w:type="dxa"/>
            <w:vMerge w:val="continue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康复医学岗位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21050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临床医学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本科30周岁及以下；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硕士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除2020年、2021年本科毕业生外，均需取得执业医师资格证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具有硕士研究生学历及学位优先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3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临床科室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针灸推拿岗位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20150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专科：针灸推拿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本科：针灸推拿学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除2020年、2021年本科毕业生外，均需取得执业医师资格证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具有硕士研究生学历及学位优先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影像科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影像诊断岗位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医学影像学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除2020年、2021年本科毕业生外，均需取得执业医师资格证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具有硕士研究生学历及学位优先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default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影像科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医学技术岗位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医学影像技术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超声科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医学技术岗位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医学影像学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检验科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检验岗位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医学检验技术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药剂科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药学岗位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专科：药学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中药学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本科：临床药学 中药学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除2020年、2021年本科毕业生外，均需取得执业资格证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医务科、院办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日常管理岗位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3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公共事业管理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财务科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财务岗位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eastAsia="zh-CN"/>
              </w:rPr>
              <w:t>专科：会计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会计学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eastAsia="zh-CN"/>
              </w:rPr>
              <w:t>专科</w:t>
            </w: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具有初级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eastAsia="zh-CN"/>
              </w:rPr>
              <w:t>及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以上职称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信息科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软件维护岗位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软件工程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本科及以上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病案科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编码员岗位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卫生信息管理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30周岁及以下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有病案编码员资格证优先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0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总务科</w:t>
            </w:r>
          </w:p>
        </w:tc>
        <w:tc>
          <w:tcPr>
            <w:tcW w:w="10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工勤岗位</w:t>
            </w:r>
          </w:p>
        </w:tc>
        <w:tc>
          <w:tcPr>
            <w:tcW w:w="11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eastAsia="宋体" w:cs="宋体"/>
                <w:bCs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21051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2</w:t>
            </w:r>
          </w:p>
        </w:tc>
        <w:tc>
          <w:tcPr>
            <w:tcW w:w="125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eastAsia="zh-CN"/>
              </w:rPr>
              <w:t>专科：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供用电技术、输变电工程技术、供热通风与卫生工程技术、</w:t>
            </w:r>
          </w:p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  <w:lang w:eastAsia="zh-CN"/>
              </w:rPr>
              <w:t>本科：</w:t>
            </w: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给排水科学与工程、电气工程及其自动化、电气工程与智能控制</w:t>
            </w:r>
          </w:p>
        </w:tc>
        <w:tc>
          <w:tcPr>
            <w:tcW w:w="8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专科及以上</w:t>
            </w:r>
          </w:p>
        </w:tc>
        <w:tc>
          <w:tcPr>
            <w:tcW w:w="8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35周岁及以下</w:t>
            </w:r>
          </w:p>
        </w:tc>
        <w:tc>
          <w:tcPr>
            <w:tcW w:w="13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3年以上工作经历</w:t>
            </w:r>
          </w:p>
        </w:tc>
        <w:tc>
          <w:tcPr>
            <w:tcW w:w="114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宋体" w:hAnsi="宋体" w:cs="宋体"/>
                <w:bCs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333333"/>
                <w:kern w:val="0"/>
                <w:szCs w:val="21"/>
              </w:rPr>
              <w:t>有电工证、管道压力证、压力容器证优先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kern w:val="0"/>
          <w:sz w:val="28"/>
          <w:szCs w:val="28"/>
        </w:rPr>
      </w:pPr>
      <w:r>
        <w:rPr>
          <w:rFonts w:hint="eastAsia"/>
          <w:sz w:val="24"/>
          <w:szCs w:val="24"/>
        </w:rPr>
        <w:t>注：因2020年2021年毕业人员未到参加执业医师考试时间故对</w:t>
      </w:r>
      <w:r>
        <w:rPr>
          <w:rFonts w:hint="eastAsia"/>
          <w:sz w:val="24"/>
          <w:szCs w:val="24"/>
          <w:lang w:eastAsia="zh-CN"/>
        </w:rPr>
        <w:t>其各个专业</w:t>
      </w:r>
      <w:r>
        <w:rPr>
          <w:rFonts w:hint="eastAsia"/>
          <w:sz w:val="24"/>
          <w:szCs w:val="24"/>
        </w:rPr>
        <w:t>不要求其具有执业医师资格证。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D4F2B"/>
    <w:rsid w:val="2A3D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2021-06-18T10:33:00Z</dcterms:created>
  <dc:creator>晒太阳</dc:creator>
  <cp:lastModifiedBy>晒太阳</cp:lastModifiedBy>
  <dcterms:modified xsi:type="dcterms:W3CDTF">2021-06-18T10:33:47Z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