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杜集</w:t>
      </w:r>
      <w:r>
        <w:rPr>
          <w:rFonts w:hint="default" w:ascii="Times New Roman" w:hAnsi="Times New Roman" w:eastAsia="方正小标宋简体" w:cs="Times New Roman"/>
          <w:color w:val="auto"/>
          <w:sz w:val="44"/>
          <w:szCs w:val="44"/>
        </w:rPr>
        <w:t>区择优比选</w:t>
      </w:r>
      <w:r>
        <w:rPr>
          <w:rFonts w:hint="default" w:ascii="Times New Roman" w:hAnsi="Times New Roman" w:eastAsia="方正小标宋简体" w:cs="Times New Roman"/>
          <w:color w:val="auto"/>
          <w:kern w:val="0"/>
          <w:sz w:val="44"/>
          <w:szCs w:val="44"/>
          <w:lang w:val="zh-CN"/>
        </w:rPr>
        <w:t>淮北市东昱建设投资集团有限公司（淮北市天汇建设投资有限责任公司）</w:t>
      </w:r>
      <w:r>
        <w:rPr>
          <w:rFonts w:hint="default" w:ascii="Times New Roman" w:hAnsi="Times New Roman" w:eastAsia="方正小标宋简体" w:cs="Times New Roman"/>
          <w:color w:val="auto"/>
          <w:sz w:val="44"/>
          <w:szCs w:val="44"/>
        </w:rPr>
        <w:t>高层管理人员职位表</w:t>
      </w:r>
    </w:p>
    <w:tbl>
      <w:tblPr>
        <w:tblStyle w:val="3"/>
        <w:tblpPr w:leftFromText="180" w:rightFromText="180" w:vertAnchor="text" w:horzAnchor="margin" w:tblpY="332"/>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906"/>
        <w:gridCol w:w="566"/>
        <w:gridCol w:w="4776"/>
        <w:gridCol w:w="603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6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9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岗位</w:t>
            </w:r>
          </w:p>
        </w:tc>
        <w:tc>
          <w:tcPr>
            <w:tcW w:w="5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人数</w:t>
            </w:r>
          </w:p>
        </w:tc>
        <w:tc>
          <w:tcPr>
            <w:tcW w:w="47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主要职责</w:t>
            </w:r>
          </w:p>
        </w:tc>
        <w:tc>
          <w:tcPr>
            <w:tcW w:w="60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条件要求</w:t>
            </w:r>
          </w:p>
        </w:tc>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5" w:hRule="atLeast"/>
        </w:trPr>
        <w:tc>
          <w:tcPr>
            <w:tcW w:w="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90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Cs w:val="21"/>
                <w:lang w:eastAsia="zh-CN"/>
              </w:rPr>
            </w:pPr>
            <w:r>
              <w:rPr>
                <w:rFonts w:hint="eastAsia" w:ascii="仿宋_GB2312" w:hAnsi="仿宋_GB2312" w:eastAsia="仿宋_GB2312" w:cs="仿宋_GB2312"/>
                <w:color w:val="auto"/>
                <w:szCs w:val="21"/>
                <w:lang w:eastAsia="zh-CN"/>
              </w:rPr>
              <w:t>集团公司财务总监</w:t>
            </w:r>
          </w:p>
        </w:tc>
        <w:tc>
          <w:tcPr>
            <w:tcW w:w="56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4776" w:type="dxa"/>
            <w:noWrap w:val="0"/>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1、协助集团领导拟定集团财务战略规划方案并监督执行；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2、建立健全集团整体财务管理体系，完善财务各项规章制度，推动集团财务升级；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3、负责集团财务系统人员的管控与团队建设工作，通过科学有效的管理机制提升财务工作人员的专业技能与工作积极性，提升财务系统整体工作效率；</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4、负责集团财务预决算、成本控制与分析、税务筹划、内部管控等全盘管理工作；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5、审核并提供完整的财务分析报告，为集团重大决策提供财务分析与支持；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6、对集团重大的投资、融资、并购等经营活动提供建议和决策支持，参与风险评估、指导、跟踪和控制；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7、负责集团重大内审活动</w:t>
            </w:r>
            <w:bookmarkStart w:id="0" w:name="_GoBack"/>
            <w:bookmarkEnd w:id="0"/>
            <w:r>
              <w:rPr>
                <w:rFonts w:hint="default" w:ascii="Times New Roman" w:hAnsi="Times New Roman" w:eastAsia="仿宋_GB2312" w:cs="Times New Roman"/>
                <w:color w:val="auto"/>
                <w:spacing w:val="8"/>
                <w:sz w:val="21"/>
                <w:szCs w:val="21"/>
              </w:rPr>
              <w:t>的监控工作；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8、与政府有关部门、证券机构等建立并保持良好关系，为集团争取更多的政策支持与服务；</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color w:val="auto"/>
                <w:szCs w:val="21"/>
              </w:rPr>
            </w:pPr>
            <w:r>
              <w:rPr>
                <w:rFonts w:hint="default" w:ascii="Times New Roman" w:hAnsi="Times New Roman" w:eastAsia="仿宋_GB2312" w:cs="Times New Roman"/>
                <w:color w:val="auto"/>
                <w:spacing w:val="8"/>
                <w:sz w:val="21"/>
                <w:szCs w:val="21"/>
              </w:rPr>
              <w:t>9、不断加强并推动集团财务信息系统建设工作。</w:t>
            </w:r>
          </w:p>
        </w:tc>
        <w:tc>
          <w:tcPr>
            <w:tcW w:w="6030" w:type="dxa"/>
            <w:noWrap w:val="0"/>
            <w:vAlign w:val="center"/>
          </w:tcPr>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1、</w:t>
            </w:r>
            <w:r>
              <w:rPr>
                <w:rFonts w:hint="default" w:ascii="Times New Roman" w:hAnsi="Times New Roman" w:eastAsia="仿宋_GB2312" w:cs="Times New Roman"/>
                <w:color w:val="auto"/>
                <w:spacing w:val="8"/>
                <w:sz w:val="21"/>
                <w:szCs w:val="21"/>
                <w:lang w:eastAsia="zh-CN"/>
              </w:rPr>
              <w:t>年龄</w:t>
            </w:r>
            <w:r>
              <w:rPr>
                <w:rFonts w:hint="default" w:ascii="Times New Roman" w:hAnsi="Times New Roman" w:eastAsia="仿宋_GB2312" w:cs="Times New Roman"/>
                <w:color w:val="auto"/>
                <w:spacing w:val="8"/>
                <w:sz w:val="21"/>
                <w:szCs w:val="21"/>
              </w:rPr>
              <w:t>不超过</w:t>
            </w:r>
            <w:r>
              <w:rPr>
                <w:rFonts w:hint="default" w:ascii="Times New Roman" w:hAnsi="Times New Roman" w:eastAsia="仿宋_GB2312" w:cs="Times New Roman"/>
                <w:color w:val="auto"/>
                <w:spacing w:val="8"/>
                <w:sz w:val="21"/>
                <w:szCs w:val="21"/>
                <w:lang w:val="en-US" w:eastAsia="zh-CN"/>
              </w:rPr>
              <w:t>40</w:t>
            </w:r>
            <w:r>
              <w:rPr>
                <w:rFonts w:hint="default" w:ascii="Times New Roman" w:hAnsi="Times New Roman" w:eastAsia="仿宋_GB2312" w:cs="Times New Roman"/>
                <w:color w:val="auto"/>
                <w:spacing w:val="8"/>
                <w:sz w:val="21"/>
                <w:szCs w:val="21"/>
              </w:rPr>
              <w:t>周岁（19</w:t>
            </w:r>
            <w:r>
              <w:rPr>
                <w:rFonts w:hint="default" w:ascii="Times New Roman" w:hAnsi="Times New Roman" w:eastAsia="仿宋_GB2312" w:cs="Times New Roman"/>
                <w:color w:val="auto"/>
                <w:spacing w:val="8"/>
                <w:sz w:val="21"/>
                <w:szCs w:val="21"/>
                <w:lang w:val="en-US" w:eastAsia="zh-CN"/>
              </w:rPr>
              <w:t>80</w:t>
            </w:r>
            <w:r>
              <w:rPr>
                <w:rFonts w:hint="default" w:ascii="Times New Roman" w:hAnsi="Times New Roman" w:eastAsia="仿宋_GB2312" w:cs="Times New Roman"/>
                <w:color w:val="auto"/>
                <w:spacing w:val="8"/>
                <w:sz w:val="21"/>
                <w:szCs w:val="21"/>
              </w:rPr>
              <w:t>年12月</w:t>
            </w:r>
            <w:r>
              <w:rPr>
                <w:rFonts w:hint="default" w:ascii="Times New Roman" w:hAnsi="Times New Roman" w:eastAsia="仿宋_GB2312" w:cs="Times New Roman"/>
                <w:color w:val="auto"/>
                <w:spacing w:val="8"/>
                <w:sz w:val="21"/>
                <w:szCs w:val="21"/>
                <w:lang w:val="en-US" w:eastAsia="zh-CN"/>
              </w:rPr>
              <w:t>3</w:t>
            </w:r>
            <w:r>
              <w:rPr>
                <w:rFonts w:hint="default" w:ascii="Times New Roman" w:hAnsi="Times New Roman" w:eastAsia="仿宋_GB2312" w:cs="Times New Roman"/>
                <w:color w:val="auto"/>
                <w:spacing w:val="8"/>
                <w:sz w:val="21"/>
                <w:szCs w:val="21"/>
              </w:rPr>
              <w:t>1日以后出生）；</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lang w:val="en-US" w:eastAsia="zh-CN"/>
              </w:rPr>
            </w:pPr>
            <w:r>
              <w:rPr>
                <w:rFonts w:hint="default" w:ascii="Times New Roman" w:hAnsi="Times New Roman" w:eastAsia="仿宋_GB2312" w:cs="Times New Roman"/>
                <w:color w:val="auto"/>
                <w:spacing w:val="8"/>
                <w:sz w:val="21"/>
                <w:szCs w:val="21"/>
              </w:rPr>
              <w:t>2、大学本科及以上学历，会计学、</w:t>
            </w:r>
            <w:r>
              <w:rPr>
                <w:rFonts w:hint="default" w:ascii="Times New Roman" w:hAnsi="Times New Roman" w:eastAsia="仿宋_GB2312" w:cs="Times New Roman"/>
                <w:color w:val="auto"/>
                <w:spacing w:val="8"/>
                <w:sz w:val="21"/>
                <w:szCs w:val="21"/>
                <w:lang w:eastAsia="zh-CN"/>
              </w:rPr>
              <w:t>税收学、金融学、</w:t>
            </w:r>
            <w:r>
              <w:rPr>
                <w:rFonts w:hint="default" w:ascii="Times New Roman" w:hAnsi="Times New Roman" w:eastAsia="仿宋_GB2312" w:cs="Times New Roman"/>
                <w:color w:val="auto"/>
                <w:spacing w:val="8"/>
                <w:sz w:val="21"/>
                <w:szCs w:val="21"/>
              </w:rPr>
              <w:t>财务管理、审计学等相关专业；中级以上职称；</w:t>
            </w:r>
            <w:r>
              <w:rPr>
                <w:rFonts w:hint="default" w:ascii="Times New Roman" w:hAnsi="Times New Roman" w:eastAsia="仿宋_GB2312" w:cs="Times New Roman"/>
                <w:color w:val="auto"/>
                <w:spacing w:val="8"/>
                <w:sz w:val="21"/>
                <w:szCs w:val="21"/>
              </w:rPr>
              <w:br w:type="textWrapping"/>
            </w:r>
            <w:r>
              <w:rPr>
                <w:rFonts w:hint="default" w:ascii="Times New Roman" w:hAnsi="Times New Roman" w:eastAsia="仿宋_GB2312" w:cs="Times New Roman"/>
                <w:color w:val="auto"/>
                <w:spacing w:val="8"/>
                <w:sz w:val="21"/>
                <w:szCs w:val="21"/>
              </w:rPr>
              <w:t>3、财务工作经验不少于10年，</w:t>
            </w:r>
            <w:r>
              <w:rPr>
                <w:rFonts w:hint="default" w:ascii="Times New Roman" w:hAnsi="Times New Roman" w:eastAsia="仿宋_GB2312" w:cs="Times New Roman"/>
                <w:color w:val="auto"/>
                <w:spacing w:val="8"/>
                <w:sz w:val="21"/>
                <w:szCs w:val="21"/>
                <w:lang w:eastAsia="zh-CN"/>
              </w:rPr>
              <w:t>担任行政、企事业单位财务负责人</w:t>
            </w:r>
            <w:r>
              <w:rPr>
                <w:rFonts w:hint="default" w:ascii="Times New Roman" w:hAnsi="Times New Roman" w:eastAsia="仿宋_GB2312" w:cs="Times New Roman"/>
                <w:color w:val="auto"/>
                <w:spacing w:val="8"/>
                <w:sz w:val="21"/>
                <w:szCs w:val="21"/>
                <w:lang w:val="en-US" w:eastAsia="zh-CN"/>
              </w:rPr>
              <w:t>5年以上，</w:t>
            </w:r>
            <w:r>
              <w:rPr>
                <w:rFonts w:hint="default" w:ascii="Times New Roman" w:hAnsi="Times New Roman" w:eastAsia="仿宋_GB2312" w:cs="Times New Roman"/>
                <w:color w:val="auto"/>
                <w:spacing w:val="8"/>
                <w:sz w:val="21"/>
                <w:szCs w:val="21"/>
              </w:rPr>
              <w:t>其中具备</w:t>
            </w:r>
            <w:r>
              <w:rPr>
                <w:rFonts w:hint="default" w:ascii="Times New Roman" w:hAnsi="Times New Roman" w:eastAsia="仿宋_GB2312" w:cs="Times New Roman"/>
                <w:color w:val="auto"/>
                <w:spacing w:val="8"/>
                <w:sz w:val="21"/>
                <w:szCs w:val="21"/>
                <w:lang w:val="en-US" w:eastAsia="zh-CN"/>
              </w:rPr>
              <w:t>3</w:t>
            </w:r>
            <w:r>
              <w:rPr>
                <w:rFonts w:hint="default" w:ascii="Times New Roman" w:hAnsi="Times New Roman" w:eastAsia="仿宋_GB2312" w:cs="Times New Roman"/>
                <w:color w:val="auto"/>
                <w:spacing w:val="8"/>
                <w:sz w:val="21"/>
                <w:szCs w:val="21"/>
              </w:rPr>
              <w:t>年以上大</w:t>
            </w:r>
            <w:r>
              <w:rPr>
                <w:rFonts w:hint="default" w:ascii="Times New Roman" w:hAnsi="Times New Roman" w:eastAsia="仿宋_GB2312" w:cs="Times New Roman"/>
                <w:color w:val="auto"/>
                <w:spacing w:val="8"/>
                <w:sz w:val="21"/>
                <w:szCs w:val="21"/>
                <w:lang w:eastAsia="zh-CN"/>
              </w:rPr>
              <w:t>中</w:t>
            </w:r>
            <w:r>
              <w:rPr>
                <w:rFonts w:hint="default" w:ascii="Times New Roman" w:hAnsi="Times New Roman" w:eastAsia="仿宋_GB2312" w:cs="Times New Roman"/>
                <w:color w:val="auto"/>
                <w:spacing w:val="8"/>
                <w:sz w:val="21"/>
                <w:szCs w:val="21"/>
              </w:rPr>
              <w:t>型</w:t>
            </w:r>
            <w:r>
              <w:rPr>
                <w:rFonts w:hint="default" w:ascii="Times New Roman" w:hAnsi="Times New Roman" w:eastAsia="仿宋_GB2312" w:cs="Times New Roman"/>
                <w:color w:val="auto"/>
                <w:spacing w:val="8"/>
                <w:sz w:val="21"/>
                <w:szCs w:val="21"/>
                <w:lang w:eastAsia="zh-CN"/>
              </w:rPr>
              <w:t>企业</w:t>
            </w:r>
            <w:r>
              <w:rPr>
                <w:rFonts w:hint="default" w:ascii="Times New Roman" w:hAnsi="Times New Roman" w:eastAsia="仿宋_GB2312" w:cs="Times New Roman"/>
                <w:color w:val="auto"/>
                <w:spacing w:val="8"/>
                <w:sz w:val="21"/>
                <w:szCs w:val="21"/>
              </w:rPr>
              <w:t>财务总监、副总监级别（需提供证明材料）工作经验</w:t>
            </w:r>
            <w:r>
              <w:rPr>
                <w:rFonts w:hint="default" w:ascii="Times New Roman" w:hAnsi="Times New Roman" w:eastAsia="仿宋_GB2312" w:cs="Times New Roman"/>
                <w:color w:val="auto"/>
                <w:spacing w:val="8"/>
                <w:sz w:val="21"/>
                <w:szCs w:val="21"/>
                <w:lang w:eastAsia="zh-CN"/>
              </w:rPr>
              <w:t>优先</w:t>
            </w:r>
            <w:r>
              <w:rPr>
                <w:rFonts w:hint="default" w:ascii="Times New Roman" w:hAnsi="Times New Roman" w:eastAsia="仿宋_GB2312" w:cs="Times New Roman"/>
                <w:color w:val="auto"/>
                <w:spacing w:val="8"/>
                <w:sz w:val="21"/>
                <w:szCs w:val="21"/>
              </w:rPr>
              <w:t>；</w:t>
            </w:r>
            <w:r>
              <w:rPr>
                <w:rFonts w:hint="default" w:ascii="Times New Roman" w:hAnsi="Times New Roman" w:eastAsia="仿宋_GB2312" w:cs="Times New Roman"/>
                <w:color w:val="auto"/>
                <w:spacing w:val="8"/>
                <w:sz w:val="21"/>
                <w:szCs w:val="21"/>
                <w:lang w:val="en-US" w:eastAsia="zh-CN"/>
              </w:rPr>
              <w:t>3年来独立或牵头负责证券、银行等金融机构投融资金额5亿元以上</w:t>
            </w:r>
            <w:r>
              <w:rPr>
                <w:rFonts w:hint="eastAsia" w:ascii="Times New Roman" w:hAnsi="Times New Roman" w:eastAsia="仿宋_GB2312" w:cs="Times New Roman"/>
                <w:color w:val="auto"/>
                <w:spacing w:val="8"/>
                <w:sz w:val="21"/>
                <w:szCs w:val="21"/>
                <w:lang w:val="en-US"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4、具备敏锐的商业洞察力，较强的战略管理、财务分析、评价、鉴别能力，精通会计、财务、投（融）资等相关知识；精通国家各项财务相关政策，具备运做企业全盘财务管理的能力；有较强的决策能力、组织能力、处理复杂问题和突发事件能力，具备独立判断、分析和处理问题的能力；具备良好的职业道德，以及良好的人际沟通能力与协调能力，适应能力强；</w:t>
            </w:r>
            <w:r>
              <w:rPr>
                <w:rFonts w:hint="default" w:ascii="Times New Roman" w:hAnsi="Times New Roman" w:eastAsia="仿宋_GB2312" w:cs="Times New Roman"/>
                <w:color w:val="auto"/>
                <w:spacing w:val="8"/>
                <w:sz w:val="21"/>
                <w:szCs w:val="21"/>
              </w:rPr>
              <w:br w:type="textWrapping"/>
            </w:r>
            <w:r>
              <w:rPr>
                <w:rFonts w:hint="default" w:ascii="Times New Roman" w:hAnsi="Times New Roman" w:eastAsia="仿宋_GB2312" w:cs="Times New Roman"/>
                <w:color w:val="auto"/>
                <w:spacing w:val="8"/>
                <w:sz w:val="21"/>
                <w:szCs w:val="21"/>
              </w:rPr>
              <w:t>5、</w:t>
            </w:r>
            <w:r>
              <w:rPr>
                <w:rFonts w:hint="eastAsia" w:ascii="Times New Roman" w:hAnsi="Times New Roman" w:eastAsia="仿宋_GB2312" w:cs="Times New Roman"/>
                <w:color w:val="auto"/>
                <w:spacing w:val="8"/>
                <w:sz w:val="21"/>
                <w:szCs w:val="21"/>
                <w:lang w:eastAsia="zh-CN"/>
              </w:rPr>
              <w:t>具有企业管理经验，</w:t>
            </w:r>
            <w:r>
              <w:rPr>
                <w:rFonts w:hint="default" w:ascii="Times New Roman" w:hAnsi="Times New Roman" w:eastAsia="仿宋_GB2312" w:cs="Times New Roman"/>
                <w:color w:val="auto"/>
                <w:spacing w:val="8"/>
                <w:sz w:val="21"/>
                <w:szCs w:val="21"/>
              </w:rPr>
              <w:t>对建筑工程、房地产、金融、投资等行业有一定的理解与认识，能提供独立负责的成功项目（案例）者优先；</w:t>
            </w:r>
            <w:r>
              <w:rPr>
                <w:rFonts w:hint="default" w:ascii="Times New Roman" w:hAnsi="Times New Roman" w:eastAsia="仿宋_GB2312" w:cs="Times New Roman"/>
                <w:color w:val="auto"/>
                <w:spacing w:val="8"/>
                <w:sz w:val="21"/>
                <w:szCs w:val="21"/>
              </w:rPr>
              <w:br w:type="textWrapping"/>
            </w:r>
            <w:r>
              <w:rPr>
                <w:rFonts w:hint="default" w:ascii="Times New Roman" w:hAnsi="Times New Roman" w:eastAsia="仿宋_GB2312" w:cs="Times New Roman"/>
                <w:color w:val="auto"/>
                <w:spacing w:val="8"/>
                <w:sz w:val="21"/>
                <w:szCs w:val="21"/>
              </w:rPr>
              <w:t>6、有上市公司财务经验或参与集团上市工作经历者、实绩（需提供相关证明材料）突出者、注册会计师，年龄、学历等条件可放宽。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Times New Roman" w:hAnsi="Times New Roman" w:eastAsia="仿宋_GB2312" w:cs="Times New Roman"/>
                <w:color w:val="auto"/>
                <w:spacing w:val="8"/>
                <w:sz w:val="21"/>
                <w:szCs w:val="21"/>
              </w:rPr>
            </w:pPr>
          </w:p>
        </w:tc>
        <w:tc>
          <w:tcPr>
            <w:tcW w:w="1455"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5" w:hRule="atLeast"/>
        </w:trPr>
        <w:tc>
          <w:tcPr>
            <w:tcW w:w="652"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lang w:val="en-US" w:eastAsia="zh-CN"/>
              </w:rPr>
              <w:t>2</w:t>
            </w:r>
          </w:p>
        </w:tc>
        <w:tc>
          <w:tcPr>
            <w:tcW w:w="90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Cs w:val="21"/>
              </w:rPr>
            </w:pPr>
            <w:r>
              <w:rPr>
                <w:rFonts w:hint="default" w:ascii="Times New Roman" w:hAnsi="Times New Roman" w:eastAsia="仿宋_GB2312" w:cs="Times New Roman"/>
                <w:color w:val="auto"/>
                <w:sz w:val="21"/>
                <w:szCs w:val="21"/>
                <w:lang w:eastAsia="zh-CN"/>
              </w:rPr>
              <w:t>淮北市天汇农业发展有限公司职业</w:t>
            </w:r>
            <w:r>
              <w:rPr>
                <w:rFonts w:hint="default" w:ascii="Times New Roman" w:hAnsi="Times New Roman" w:eastAsia="仿宋_GB2312" w:cs="Times New Roman"/>
                <w:color w:val="auto"/>
                <w:sz w:val="21"/>
                <w:szCs w:val="21"/>
              </w:rPr>
              <w:t>经理</w:t>
            </w:r>
          </w:p>
        </w:tc>
        <w:tc>
          <w:tcPr>
            <w:tcW w:w="566"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4776"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围绕杜集区特色农产品生产基地、国家现代农业示范区、国家生态文明农业样板区三个目标，搭建平台，吸引社会资本、工商资本推动农业现代化发展。探索多种经营模式，多行业多领域投资，寻求资金的高效利用</w:t>
            </w:r>
            <w:r>
              <w:rPr>
                <w:rFonts w:hint="default" w:ascii="Times New Roman" w:hAnsi="Times New Roman" w:eastAsia="仿宋_GB2312" w:cs="Times New Roman"/>
                <w:color w:val="auto"/>
                <w:sz w:val="21"/>
                <w:szCs w:val="21"/>
                <w:lang w:eastAsia="zh-CN"/>
              </w:rPr>
              <w:t>发展农业特色产业经济和休闲观光旅游经济；</w:t>
            </w:r>
          </w:p>
          <w:p>
            <w:pPr>
              <w:keepNext w:val="0"/>
              <w:keepLines w:val="0"/>
              <w:pageBreakBefore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r>
              <w:rPr>
                <w:rFonts w:hint="default" w:ascii="Times New Roman" w:hAnsi="Times New Roman" w:eastAsia="仿宋_GB2312" w:cs="Times New Roman"/>
                <w:color w:val="auto"/>
                <w:sz w:val="21"/>
                <w:szCs w:val="21"/>
              </w:rPr>
              <w:t>负责完成公司产业方面年度经营目标和中长期业务拓展规划；依法实施公司</w:t>
            </w:r>
            <w:r>
              <w:rPr>
                <w:rFonts w:hint="default" w:ascii="Times New Roman" w:hAnsi="Times New Roman" w:eastAsia="仿宋_GB2312" w:cs="Times New Roman"/>
                <w:color w:val="auto"/>
                <w:szCs w:val="21"/>
              </w:rPr>
              <w:t>产业规划、项目管理、工程建设等。</w:t>
            </w:r>
          </w:p>
        </w:tc>
        <w:tc>
          <w:tcPr>
            <w:tcW w:w="6030" w:type="dxa"/>
            <w:noWrap w:val="0"/>
            <w:vAlign w:val="center"/>
          </w:tcPr>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Times New Roman" w:hAnsi="Times New Roman" w:eastAsia="仿宋_GB2312" w:cs="Times New Roman"/>
                <w:color w:val="auto"/>
                <w:spacing w:val="8"/>
                <w:sz w:val="21"/>
                <w:szCs w:val="21"/>
                <w:lang w:eastAsia="zh-CN"/>
              </w:rPr>
            </w:pPr>
            <w:r>
              <w:rPr>
                <w:rFonts w:hint="default" w:ascii="Times New Roman" w:hAnsi="Times New Roman" w:eastAsia="仿宋_GB2312" w:cs="Times New Roman"/>
                <w:color w:val="auto"/>
                <w:spacing w:val="8"/>
                <w:sz w:val="21"/>
                <w:szCs w:val="21"/>
              </w:rPr>
              <w:t>1、</w:t>
            </w:r>
            <w:r>
              <w:rPr>
                <w:rFonts w:hint="default" w:ascii="Times New Roman" w:hAnsi="Times New Roman" w:eastAsia="仿宋_GB2312" w:cs="Times New Roman"/>
                <w:color w:val="auto"/>
                <w:spacing w:val="8"/>
                <w:sz w:val="21"/>
                <w:szCs w:val="21"/>
                <w:lang w:eastAsia="zh-CN"/>
              </w:rPr>
              <w:t>年龄</w:t>
            </w:r>
            <w:r>
              <w:rPr>
                <w:rFonts w:hint="default" w:ascii="Times New Roman" w:hAnsi="Times New Roman" w:eastAsia="仿宋_GB2312" w:cs="Times New Roman"/>
                <w:color w:val="auto"/>
                <w:spacing w:val="8"/>
                <w:sz w:val="21"/>
                <w:szCs w:val="21"/>
              </w:rPr>
              <w:t>不超过</w:t>
            </w:r>
            <w:r>
              <w:rPr>
                <w:rFonts w:hint="default" w:ascii="Times New Roman" w:hAnsi="Times New Roman" w:eastAsia="仿宋_GB2312" w:cs="Times New Roman"/>
                <w:color w:val="auto"/>
                <w:spacing w:val="8"/>
                <w:sz w:val="21"/>
                <w:szCs w:val="21"/>
                <w:lang w:val="en-US" w:eastAsia="zh-CN"/>
              </w:rPr>
              <w:t>40</w:t>
            </w:r>
            <w:r>
              <w:rPr>
                <w:rFonts w:hint="default" w:ascii="Times New Roman" w:hAnsi="Times New Roman" w:eastAsia="仿宋_GB2312" w:cs="Times New Roman"/>
                <w:color w:val="auto"/>
                <w:spacing w:val="8"/>
                <w:sz w:val="21"/>
                <w:szCs w:val="21"/>
              </w:rPr>
              <w:t>周岁（19</w:t>
            </w:r>
            <w:r>
              <w:rPr>
                <w:rFonts w:hint="default" w:ascii="Times New Roman" w:hAnsi="Times New Roman" w:eastAsia="仿宋_GB2312" w:cs="Times New Roman"/>
                <w:color w:val="auto"/>
                <w:spacing w:val="8"/>
                <w:sz w:val="21"/>
                <w:szCs w:val="21"/>
                <w:lang w:val="en-US" w:eastAsia="zh-CN"/>
              </w:rPr>
              <w:t>80</w:t>
            </w:r>
            <w:r>
              <w:rPr>
                <w:rFonts w:hint="default" w:ascii="Times New Roman" w:hAnsi="Times New Roman" w:eastAsia="仿宋_GB2312" w:cs="Times New Roman"/>
                <w:color w:val="auto"/>
                <w:spacing w:val="8"/>
                <w:sz w:val="21"/>
                <w:szCs w:val="21"/>
              </w:rPr>
              <w:t>年12月</w:t>
            </w:r>
            <w:r>
              <w:rPr>
                <w:rFonts w:hint="default" w:ascii="Times New Roman" w:hAnsi="Times New Roman" w:eastAsia="仿宋_GB2312" w:cs="Times New Roman"/>
                <w:color w:val="auto"/>
                <w:spacing w:val="8"/>
                <w:sz w:val="21"/>
                <w:szCs w:val="21"/>
                <w:lang w:val="en-US" w:eastAsia="zh-CN"/>
              </w:rPr>
              <w:t>3</w:t>
            </w:r>
            <w:r>
              <w:rPr>
                <w:rFonts w:hint="default" w:ascii="Times New Roman" w:hAnsi="Times New Roman" w:eastAsia="仿宋_GB2312" w:cs="Times New Roman"/>
                <w:color w:val="auto"/>
                <w:spacing w:val="8"/>
                <w:sz w:val="21"/>
                <w:szCs w:val="21"/>
              </w:rPr>
              <w:t>1日以后出生）</w:t>
            </w:r>
            <w:r>
              <w:rPr>
                <w:rFonts w:hint="eastAsia" w:ascii="Times New Roman" w:hAnsi="Times New Roman" w:eastAsia="仿宋_GB2312" w:cs="Times New Roman"/>
                <w:color w:val="auto"/>
                <w:spacing w:val="8"/>
                <w:sz w:val="21"/>
                <w:szCs w:val="21"/>
                <w:lang w:eastAsia="zh-CN"/>
              </w:rPr>
              <w:t>；</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default" w:ascii="Times New Roman" w:hAnsi="Times New Roman" w:eastAsia="仿宋_GB2312" w:cs="Times New Roman"/>
                <w:color w:val="auto"/>
                <w:spacing w:val="8"/>
                <w:sz w:val="21"/>
                <w:szCs w:val="21"/>
              </w:rPr>
            </w:pPr>
            <w:r>
              <w:rPr>
                <w:rFonts w:hint="default" w:ascii="Times New Roman" w:hAnsi="Times New Roman" w:eastAsia="仿宋_GB2312" w:cs="Times New Roman"/>
                <w:color w:val="auto"/>
                <w:spacing w:val="8"/>
                <w:sz w:val="21"/>
                <w:szCs w:val="21"/>
              </w:rPr>
              <w:t>2、</w:t>
            </w:r>
            <w:r>
              <w:rPr>
                <w:rFonts w:hint="eastAsia" w:ascii="Times New Roman" w:hAnsi="Times New Roman" w:eastAsia="仿宋_GB2312" w:cs="Times New Roman"/>
                <w:color w:val="auto"/>
                <w:spacing w:val="8"/>
                <w:sz w:val="21"/>
                <w:szCs w:val="21"/>
                <w:lang w:eastAsia="zh-CN"/>
              </w:rPr>
              <w:t>应具有</w:t>
            </w:r>
            <w:r>
              <w:rPr>
                <w:rFonts w:hint="default" w:ascii="Times New Roman" w:hAnsi="Times New Roman" w:eastAsia="仿宋_GB2312" w:cs="Times New Roman"/>
                <w:color w:val="auto"/>
                <w:spacing w:val="8"/>
                <w:sz w:val="21"/>
                <w:szCs w:val="21"/>
              </w:rPr>
              <w:t>大学本科及以上学历，农业科学、经济管理类相关专业；</w:t>
            </w:r>
            <w:r>
              <w:rPr>
                <w:rFonts w:hint="default" w:ascii="Times New Roman" w:hAnsi="Times New Roman" w:eastAsia="仿宋_GB2312" w:cs="Times New Roman"/>
                <w:color w:val="auto"/>
                <w:spacing w:val="8"/>
                <w:sz w:val="21"/>
                <w:szCs w:val="21"/>
                <w:highlight w:val="none"/>
                <w:lang w:eastAsia="zh-CN"/>
              </w:rPr>
              <w:t>熟悉农业规划、农业工程（含水利）、农业区域发展、农业市场营销</w:t>
            </w:r>
            <w:r>
              <w:rPr>
                <w:rFonts w:hint="eastAsia" w:ascii="Times New Roman" w:hAnsi="Times New Roman" w:eastAsia="仿宋_GB2312" w:cs="Times New Roman"/>
                <w:color w:val="auto"/>
                <w:spacing w:val="8"/>
                <w:sz w:val="21"/>
                <w:szCs w:val="21"/>
                <w:highlight w:val="none"/>
                <w:lang w:eastAsia="zh-CN"/>
              </w:rPr>
              <w:t>工作</w:t>
            </w:r>
            <w:r>
              <w:rPr>
                <w:rFonts w:hint="default" w:ascii="Times New Roman" w:hAnsi="Times New Roman" w:eastAsia="仿宋_GB2312" w:cs="Times New Roman"/>
                <w:color w:val="auto"/>
                <w:spacing w:val="8"/>
                <w:sz w:val="21"/>
                <w:szCs w:val="21"/>
                <w:highlight w:val="none"/>
                <w:lang w:eastAsia="zh-CN"/>
              </w:rPr>
              <w:t>优先；</w:t>
            </w:r>
            <w:r>
              <w:rPr>
                <w:rFonts w:hint="default" w:ascii="Times New Roman" w:hAnsi="Times New Roman" w:eastAsia="仿宋_GB2312" w:cs="Times New Roman"/>
                <w:color w:val="auto"/>
                <w:spacing w:val="8"/>
                <w:sz w:val="21"/>
                <w:szCs w:val="21"/>
              </w:rPr>
              <w:br w:type="textWrapping"/>
            </w:r>
            <w:r>
              <w:rPr>
                <w:rFonts w:hint="default" w:ascii="Times New Roman" w:hAnsi="Times New Roman" w:eastAsia="仿宋_GB2312" w:cs="Times New Roman"/>
                <w:color w:val="auto"/>
                <w:spacing w:val="8"/>
                <w:sz w:val="21"/>
                <w:szCs w:val="21"/>
                <w:lang w:val="en-US" w:eastAsia="zh-CN"/>
              </w:rPr>
              <w:t>3</w:t>
            </w:r>
            <w:r>
              <w:rPr>
                <w:rFonts w:hint="default" w:ascii="Times New Roman" w:hAnsi="Times New Roman" w:eastAsia="仿宋_GB2312" w:cs="Times New Roman"/>
                <w:color w:val="auto"/>
                <w:spacing w:val="8"/>
                <w:sz w:val="21"/>
                <w:szCs w:val="21"/>
              </w:rPr>
              <w:t>、</w:t>
            </w:r>
            <w:r>
              <w:rPr>
                <w:rFonts w:hint="eastAsia" w:ascii="Times New Roman" w:hAnsi="Times New Roman" w:eastAsia="仿宋_GB2312" w:cs="Times New Roman"/>
                <w:color w:val="auto"/>
                <w:spacing w:val="8"/>
                <w:sz w:val="21"/>
                <w:szCs w:val="21"/>
                <w:lang w:eastAsia="zh-CN"/>
              </w:rPr>
              <w:t>应具有</w:t>
            </w:r>
            <w:r>
              <w:rPr>
                <w:rFonts w:hint="default" w:ascii="Times New Roman" w:hAnsi="Times New Roman" w:eastAsia="仿宋_GB2312" w:cs="Times New Roman"/>
                <w:color w:val="auto"/>
                <w:spacing w:val="8"/>
                <w:sz w:val="21"/>
                <w:szCs w:val="21"/>
                <w:highlight w:val="none"/>
              </w:rPr>
              <w:t>农业经营管理</w:t>
            </w:r>
            <w:r>
              <w:rPr>
                <w:rFonts w:hint="default" w:ascii="Times New Roman" w:hAnsi="Times New Roman" w:eastAsia="仿宋_GB2312" w:cs="Times New Roman"/>
                <w:color w:val="auto"/>
                <w:spacing w:val="8"/>
                <w:sz w:val="21"/>
                <w:szCs w:val="21"/>
                <w:highlight w:val="none"/>
                <w:lang w:val="en-US" w:eastAsia="zh-CN"/>
              </w:rPr>
              <w:t>5年以上经验</w:t>
            </w:r>
            <w:r>
              <w:rPr>
                <w:rFonts w:hint="eastAsia" w:ascii="Times New Roman" w:hAnsi="Times New Roman" w:eastAsia="仿宋_GB2312" w:cs="Times New Roman"/>
                <w:color w:val="auto"/>
                <w:spacing w:val="8"/>
                <w:sz w:val="21"/>
                <w:szCs w:val="21"/>
                <w:highlight w:val="none"/>
                <w:lang w:eastAsia="zh-CN"/>
              </w:rPr>
              <w:t>；应具</w:t>
            </w:r>
            <w:r>
              <w:rPr>
                <w:rFonts w:hint="default" w:ascii="Times New Roman" w:hAnsi="Times New Roman" w:eastAsia="仿宋_GB2312" w:cs="Times New Roman"/>
                <w:color w:val="auto"/>
                <w:spacing w:val="8"/>
                <w:sz w:val="21"/>
                <w:szCs w:val="21"/>
                <w:highlight w:val="none"/>
              </w:rPr>
              <w:t>有较强的决策能力、组织能力、处理复杂问题和突发事件能力，具备独立判断、分析和处理问题的能力；</w:t>
            </w:r>
            <w:r>
              <w:rPr>
                <w:rFonts w:hint="default" w:ascii="Times New Roman" w:hAnsi="Times New Roman" w:eastAsia="仿宋_GB2312" w:cs="Times New Roman"/>
                <w:color w:val="auto"/>
                <w:spacing w:val="8"/>
                <w:sz w:val="21"/>
                <w:szCs w:val="21"/>
                <w:highlight w:val="none"/>
                <w:lang w:eastAsia="zh-CN"/>
              </w:rPr>
              <w:t>具有主抓农业产业园区建设、运营并取得成效的优先</w:t>
            </w:r>
            <w:r>
              <w:rPr>
                <w:rFonts w:hint="eastAsia" w:ascii="Times New Roman" w:hAnsi="Times New Roman" w:eastAsia="仿宋_GB2312" w:cs="Times New Roman"/>
                <w:color w:val="auto"/>
                <w:spacing w:val="8"/>
                <w:sz w:val="21"/>
                <w:szCs w:val="21"/>
                <w:highlight w:val="none"/>
                <w:lang w:eastAsia="zh-CN"/>
              </w:rPr>
              <w:t>；</w:t>
            </w:r>
            <w:r>
              <w:rPr>
                <w:rFonts w:hint="default" w:ascii="Times New Roman" w:hAnsi="Times New Roman" w:eastAsia="仿宋_GB2312" w:cs="Times New Roman"/>
                <w:color w:val="auto"/>
                <w:spacing w:val="8"/>
                <w:sz w:val="21"/>
                <w:szCs w:val="21"/>
                <w:highlight w:val="none"/>
              </w:rPr>
              <w:br w:type="textWrapping"/>
            </w:r>
            <w:r>
              <w:rPr>
                <w:rFonts w:hint="default" w:ascii="Times New Roman" w:hAnsi="Times New Roman" w:eastAsia="仿宋_GB2312" w:cs="Times New Roman"/>
                <w:color w:val="auto"/>
                <w:spacing w:val="8"/>
                <w:sz w:val="21"/>
                <w:szCs w:val="21"/>
                <w:lang w:val="en-US" w:eastAsia="zh-CN"/>
              </w:rPr>
              <w:t>4</w:t>
            </w:r>
            <w:r>
              <w:rPr>
                <w:rFonts w:hint="default" w:ascii="Times New Roman" w:hAnsi="Times New Roman" w:eastAsia="仿宋_GB2312" w:cs="Times New Roman"/>
                <w:color w:val="auto"/>
                <w:spacing w:val="8"/>
                <w:sz w:val="21"/>
                <w:szCs w:val="21"/>
              </w:rPr>
              <w:t>、熟悉农业工程建设与管理、</w:t>
            </w:r>
            <w:r>
              <w:rPr>
                <w:rFonts w:hint="eastAsia" w:ascii="Times New Roman" w:hAnsi="Times New Roman" w:eastAsia="仿宋_GB2312" w:cs="Times New Roman"/>
                <w:color w:val="auto"/>
                <w:spacing w:val="8"/>
                <w:sz w:val="21"/>
                <w:szCs w:val="21"/>
                <w:lang w:eastAsia="zh-CN"/>
              </w:rPr>
              <w:t>有农业园区管理</w:t>
            </w:r>
            <w:r>
              <w:rPr>
                <w:rFonts w:hint="default" w:ascii="Times New Roman" w:hAnsi="Times New Roman" w:eastAsia="仿宋_GB2312" w:cs="Times New Roman"/>
                <w:color w:val="auto"/>
                <w:spacing w:val="8"/>
                <w:sz w:val="21"/>
                <w:szCs w:val="21"/>
              </w:rPr>
              <w:t>及投融资管理</w:t>
            </w:r>
            <w:r>
              <w:rPr>
                <w:rFonts w:hint="eastAsia" w:ascii="Times New Roman" w:hAnsi="Times New Roman" w:eastAsia="仿宋_GB2312" w:cs="Times New Roman"/>
                <w:color w:val="auto"/>
                <w:spacing w:val="8"/>
                <w:sz w:val="21"/>
                <w:szCs w:val="21"/>
                <w:lang w:eastAsia="zh-CN"/>
              </w:rPr>
              <w:t>经验、</w:t>
            </w:r>
            <w:r>
              <w:rPr>
                <w:rFonts w:hint="default" w:ascii="Times New Roman" w:hAnsi="Times New Roman" w:eastAsia="仿宋_GB2312" w:cs="Times New Roman"/>
                <w:color w:val="auto"/>
                <w:spacing w:val="8"/>
                <w:sz w:val="21"/>
                <w:szCs w:val="21"/>
              </w:rPr>
              <w:t>能提供独立负责的成功项目（案例）者优先</w:t>
            </w:r>
            <w:r>
              <w:rPr>
                <w:rFonts w:hint="eastAsia" w:ascii="Times New Roman" w:hAnsi="Times New Roman" w:eastAsia="仿宋_GB2312" w:cs="Times New Roman"/>
                <w:color w:val="auto"/>
                <w:spacing w:val="8"/>
                <w:sz w:val="21"/>
                <w:szCs w:val="21"/>
                <w:lang w:eastAsia="zh-CN"/>
              </w:rPr>
              <w:t>。</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auto"/>
                <w:szCs w:val="21"/>
              </w:rPr>
            </w:pPr>
          </w:p>
        </w:tc>
        <w:tc>
          <w:tcPr>
            <w:tcW w:w="1455" w:type="dxa"/>
            <w:noWrap w:val="0"/>
            <w:vAlign w:val="center"/>
          </w:tcPr>
          <w:p>
            <w:pPr>
              <w:keepNext w:val="0"/>
              <w:keepLines w:val="0"/>
              <w:pageBreakBefore w:val="0"/>
              <w:kinsoku/>
              <w:wordWrap/>
              <w:overflowPunct/>
              <w:topLinePunct w:val="0"/>
              <w:bidi w:val="0"/>
              <w:spacing w:line="560" w:lineRule="exact"/>
              <w:jc w:val="center"/>
              <w:textAlignment w:val="auto"/>
              <w:rPr>
                <w:rFonts w:hint="default" w:ascii="Times New Roman" w:hAnsi="Times New Roman" w:cs="Times New Roman"/>
                <w:color w:val="auto"/>
                <w:szCs w:val="21"/>
              </w:rPr>
            </w:pPr>
          </w:p>
        </w:tc>
      </w:tr>
    </w:tbl>
    <w:p>
      <w:pPr>
        <w:rPr>
          <w:rFonts w:hint="default" w:eastAsia="宋体"/>
          <w:lang w:val="en-US" w:eastAsia="zh-CN"/>
        </w:rPr>
      </w:pPr>
      <w:r>
        <w:rPr>
          <w:rFonts w:hint="eastAsia"/>
          <w:lang w:val="en-US" w:eastAsia="zh-CN"/>
        </w:rP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A5B2FA"/>
    <w:multiLevelType w:val="singleLevel"/>
    <w:tmpl w:val="89A5B2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74CCC"/>
    <w:rsid w:val="225C67FD"/>
    <w:rsid w:val="71374CCC"/>
    <w:rsid w:val="733C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2020-12-10T12:56:00Z</dcterms:created>
  <dc:creator>一颗皮蛋</dc:creator>
  <cp:lastModifiedBy>一颗皮蛋</cp:lastModifiedBy>
  <dcterms:modified xsi:type="dcterms:W3CDTF">2020-12-10T14:22:12Z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